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8"/>
        <w:tabs>
          <w:tab w:val="right" w:leader="dot" w:pos="14562"/>
        </w:tabs>
        <w:rPr>
          <w:rFonts w:hint="eastAsia"/>
          <w:lang w:eastAsia="zh-CN"/>
        </w:rPr>
      </w:pPr>
      <w:r>
        <w:fldChar w:fldCharType="begin"/>
      </w:r>
      <w:r>
        <w:instrText xml:space="preserve"> HYPERLINK \l "_Toc_2_2_0000000002" </w:instrText>
      </w:r>
      <w:r>
        <w:fldChar w:fldCharType="separate"/>
      </w:r>
      <w:r>
        <w:t>单位预算收入总表</w:t>
      </w:r>
      <w:r>
        <w:tab/>
      </w:r>
      <w: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"_Toc_2_2_0000000003" </w:instrText>
      </w:r>
      <w:r>
        <w:fldChar w:fldCharType="separate"/>
      </w:r>
      <w:r>
        <w:t>单位预算支出总表</w:t>
      </w:r>
      <w:r>
        <w:tab/>
      </w:r>
      <w: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"_Toc_2_2_0000000004" </w:instrText>
      </w:r>
      <w:r>
        <w:fldChar w:fldCharType="separate"/>
      </w:r>
      <w:r>
        <w:t>单位预算财政拨款收支总表</w:t>
      </w:r>
      <w:r>
        <w:tab/>
      </w:r>
      <w:r>
        <w:fldChar w:fldCharType="end"/>
      </w:r>
      <w:r>
        <w:rPr>
          <w:rFonts w:hint="eastAsia"/>
          <w:lang w:eastAsia="zh-CN"/>
        </w:rPr>
        <w:t>5</w:t>
      </w:r>
    </w:p>
    <w:p>
      <w:pPr>
        <w:pStyle w:val="8"/>
        <w:tabs>
          <w:tab w:val="right" w:leader="dot" w:pos="14562"/>
        </w:tabs>
        <w:rPr>
          <w:rFonts w:hint="eastAsia"/>
          <w:lang w:eastAsia="zh-CN"/>
        </w:rPr>
      </w:pPr>
      <w:r>
        <w:fldChar w:fldCharType="begin"/>
      </w:r>
      <w:r>
        <w:instrText xml:space="preserve"> HYPERLINK \l "_Toc_2_2_0000000005" </w:instrText>
      </w:r>
      <w:r>
        <w:fldChar w:fldCharType="separate"/>
      </w:r>
      <w:r>
        <w:t>单位预算一般公共预算财政拨款支出表</w:t>
      </w:r>
      <w:r>
        <w:tab/>
      </w:r>
      <w:r>
        <w:fldChar w:fldCharType="end"/>
      </w:r>
      <w:r>
        <w:rPr>
          <w:rFonts w:hint="eastAsia"/>
          <w:lang w:eastAsia="zh-CN"/>
        </w:rPr>
        <w:t>8</w:t>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end"/>
      </w:r>
      <w:r>
        <w:rPr>
          <w:rFonts w:hint="eastAsia"/>
          <w:lang w:eastAsia="zh-CN"/>
        </w:rPr>
        <w:t>9</w:t>
      </w:r>
      <w:r>
        <w:t xml:space="preserve"> </w:t>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t>2</w:t>
      </w:r>
      <w:r>
        <w:fldChar w:fldCharType="end"/>
      </w:r>
      <w:r>
        <w:fldChar w:fldCharType="end"/>
      </w:r>
    </w:p>
    <w:p>
      <w:pPr>
        <w:pStyle w:val="8"/>
        <w:tabs>
          <w:tab w:val="right" w:leader="dot" w:pos="14562"/>
        </w:tabs>
      </w:pPr>
      <w:r>
        <w:fldChar w:fldCharType="begin"/>
      </w:r>
      <w:r>
        <w:instrText xml:space="preserve">HYPERLINK \l "_Toc_3_3_0000000018"</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3</w:t>
      </w:r>
      <w:r>
        <w:fldChar w:fldCharType="end"/>
      </w:r>
      <w:r>
        <w:fldChar w:fldCharType="end"/>
      </w:r>
    </w:p>
    <w:p>
      <w:r>
        <w:fldChar w:fldCharType="end"/>
      </w:r>
    </w:p>
    <w:p/>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七十三、霸州市胜芳镇第四小学收支预算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501585霸州市胜芳镇第四小学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411.26</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411.26</w:t>
            </w:r>
          </w:p>
        </w:tc>
        <w:tc>
          <w:tcPr>
            <w:tcW w:w="4535" w:type="dxa"/>
            <w:vAlign w:val="center"/>
          </w:tcPr>
          <w:p>
            <w:pPr>
              <w:pStyle w:val="25"/>
            </w:pPr>
            <w:r>
              <w:t>本年支出合计</w:t>
            </w:r>
          </w:p>
        </w:tc>
        <w:tc>
          <w:tcPr>
            <w:tcW w:w="2126" w:type="dxa"/>
            <w:vAlign w:val="center"/>
          </w:tcPr>
          <w:p>
            <w:pPr>
              <w:pStyle w:val="26"/>
            </w:pPr>
            <w:r>
              <w:t>411.65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r>
              <w:t>0.39</w:t>
            </w: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411.65</w:t>
            </w:r>
          </w:p>
        </w:tc>
        <w:tc>
          <w:tcPr>
            <w:tcW w:w="4535" w:type="dxa"/>
            <w:vAlign w:val="center"/>
          </w:tcPr>
          <w:p>
            <w:pPr>
              <w:pStyle w:val="25"/>
            </w:pPr>
            <w:r>
              <w:t>支出总计</w:t>
            </w:r>
          </w:p>
        </w:tc>
        <w:tc>
          <w:tcPr>
            <w:tcW w:w="2126" w:type="dxa"/>
            <w:vAlign w:val="center"/>
          </w:tcPr>
          <w:p>
            <w:pPr>
              <w:pStyle w:val="26"/>
            </w:pPr>
            <w:r>
              <w:t>411.65</w:t>
            </w:r>
          </w:p>
        </w:tc>
      </w:tr>
    </w:tbl>
    <w:p>
      <w:pPr>
        <w:sectPr>
          <w:footerReference r:id="rId5" w:type="default"/>
          <w:footerReference r:id="rId6" w:type="even"/>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501585霸州市胜芳镇第四小学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411.65</w:t>
            </w:r>
          </w:p>
        </w:tc>
        <w:tc>
          <w:tcPr>
            <w:tcW w:w="1134" w:type="dxa"/>
            <w:vAlign w:val="center"/>
          </w:tcPr>
          <w:p>
            <w:pPr>
              <w:pStyle w:val="26"/>
            </w:pPr>
            <w:r>
              <w:t>411.26</w:t>
            </w:r>
          </w:p>
        </w:tc>
        <w:tc>
          <w:tcPr>
            <w:tcW w:w="1134" w:type="dxa"/>
            <w:vAlign w:val="center"/>
          </w:tcPr>
          <w:p>
            <w:pPr>
              <w:pStyle w:val="26"/>
            </w:pPr>
            <w:r>
              <w:t>411.26</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411.65</w:t>
            </w:r>
          </w:p>
        </w:tc>
        <w:tc>
          <w:tcPr>
            <w:tcW w:w="1134" w:type="dxa"/>
            <w:vAlign w:val="center"/>
          </w:tcPr>
          <w:p>
            <w:pPr>
              <w:pStyle w:val="22"/>
            </w:pPr>
            <w:r>
              <w:t>411.26</w:t>
            </w:r>
          </w:p>
        </w:tc>
        <w:tc>
          <w:tcPr>
            <w:tcW w:w="1134" w:type="dxa"/>
            <w:vAlign w:val="center"/>
          </w:tcPr>
          <w:p>
            <w:pPr>
              <w:pStyle w:val="22"/>
            </w:pPr>
            <w:r>
              <w:t>411.26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411.65</w:t>
            </w:r>
          </w:p>
        </w:tc>
        <w:tc>
          <w:tcPr>
            <w:tcW w:w="1134" w:type="dxa"/>
            <w:vAlign w:val="center"/>
          </w:tcPr>
          <w:p>
            <w:pPr>
              <w:pStyle w:val="22"/>
            </w:pPr>
            <w:r>
              <w:t>411.26</w:t>
            </w:r>
          </w:p>
        </w:tc>
        <w:tc>
          <w:tcPr>
            <w:tcW w:w="1134" w:type="dxa"/>
            <w:vAlign w:val="center"/>
          </w:tcPr>
          <w:p>
            <w:pPr>
              <w:pStyle w:val="22"/>
            </w:pPr>
            <w:r>
              <w:t>411.26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3.04</w:t>
            </w:r>
          </w:p>
        </w:tc>
        <w:tc>
          <w:tcPr>
            <w:tcW w:w="1134" w:type="dxa"/>
            <w:vAlign w:val="center"/>
          </w:tcPr>
          <w:p>
            <w:pPr>
              <w:pStyle w:val="22"/>
            </w:pPr>
            <w:r>
              <w:t>3.04</w:t>
            </w:r>
          </w:p>
        </w:tc>
        <w:tc>
          <w:tcPr>
            <w:tcW w:w="1134" w:type="dxa"/>
            <w:vAlign w:val="center"/>
          </w:tcPr>
          <w:p>
            <w:pPr>
              <w:pStyle w:val="22"/>
            </w:pPr>
            <w:r>
              <w:t>3.04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408.61</w:t>
            </w:r>
          </w:p>
        </w:tc>
        <w:tc>
          <w:tcPr>
            <w:tcW w:w="1134" w:type="dxa"/>
            <w:vAlign w:val="center"/>
          </w:tcPr>
          <w:p>
            <w:pPr>
              <w:pStyle w:val="22"/>
            </w:pPr>
            <w:r>
              <w:t>408.22</w:t>
            </w:r>
          </w:p>
        </w:tc>
        <w:tc>
          <w:tcPr>
            <w:tcW w:w="1134" w:type="dxa"/>
            <w:vAlign w:val="center"/>
          </w:tcPr>
          <w:p>
            <w:pPr>
              <w:pStyle w:val="22"/>
            </w:pPr>
            <w:r>
              <w:t>408.22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r>
              <w:t>0.39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411.65</w:t>
            </w:r>
          </w:p>
        </w:tc>
        <w:tc>
          <w:tcPr>
            <w:tcW w:w="1361" w:type="dxa"/>
            <w:vAlign w:val="center"/>
          </w:tcPr>
          <w:p>
            <w:pPr>
              <w:pStyle w:val="26"/>
            </w:pPr>
            <w:r>
              <w:t>398.64</w:t>
            </w:r>
          </w:p>
        </w:tc>
        <w:tc>
          <w:tcPr>
            <w:tcW w:w="1361" w:type="dxa"/>
            <w:vAlign w:val="center"/>
          </w:tcPr>
          <w:p>
            <w:pPr>
              <w:pStyle w:val="26"/>
            </w:pPr>
            <w:r>
              <w:t>13.01</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411.65</w:t>
            </w:r>
          </w:p>
        </w:tc>
        <w:tc>
          <w:tcPr>
            <w:tcW w:w="1361" w:type="dxa"/>
            <w:vAlign w:val="center"/>
          </w:tcPr>
          <w:p>
            <w:pPr>
              <w:pStyle w:val="22"/>
            </w:pPr>
            <w:r>
              <w:t>398.64</w:t>
            </w:r>
          </w:p>
        </w:tc>
        <w:tc>
          <w:tcPr>
            <w:tcW w:w="1361" w:type="dxa"/>
            <w:vAlign w:val="center"/>
          </w:tcPr>
          <w:p>
            <w:pPr>
              <w:pStyle w:val="22"/>
            </w:pPr>
            <w:r>
              <w:t>13.01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411.65</w:t>
            </w:r>
          </w:p>
        </w:tc>
        <w:tc>
          <w:tcPr>
            <w:tcW w:w="1361" w:type="dxa"/>
            <w:vAlign w:val="center"/>
          </w:tcPr>
          <w:p>
            <w:pPr>
              <w:pStyle w:val="22"/>
            </w:pPr>
            <w:r>
              <w:t>398.64</w:t>
            </w:r>
          </w:p>
        </w:tc>
        <w:tc>
          <w:tcPr>
            <w:tcW w:w="1361" w:type="dxa"/>
            <w:vAlign w:val="center"/>
          </w:tcPr>
          <w:p>
            <w:pPr>
              <w:pStyle w:val="22"/>
            </w:pPr>
            <w:r>
              <w:t>13.01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3.04</w:t>
            </w:r>
          </w:p>
        </w:tc>
        <w:tc>
          <w:tcPr>
            <w:tcW w:w="1361" w:type="dxa"/>
            <w:vAlign w:val="center"/>
          </w:tcPr>
          <w:p>
            <w:pPr>
              <w:pStyle w:val="22"/>
            </w:pPr>
            <w:r>
              <w:t>0.64</w:t>
            </w:r>
          </w:p>
        </w:tc>
        <w:tc>
          <w:tcPr>
            <w:tcW w:w="1361" w:type="dxa"/>
            <w:vAlign w:val="center"/>
          </w:tcPr>
          <w:p>
            <w:pPr>
              <w:pStyle w:val="22"/>
            </w:pPr>
            <w:r>
              <w:t>2.40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408.61</w:t>
            </w:r>
          </w:p>
        </w:tc>
        <w:tc>
          <w:tcPr>
            <w:tcW w:w="1361" w:type="dxa"/>
            <w:vAlign w:val="center"/>
          </w:tcPr>
          <w:p>
            <w:pPr>
              <w:pStyle w:val="22"/>
            </w:pPr>
            <w:r>
              <w:t>398.00</w:t>
            </w:r>
          </w:p>
        </w:tc>
        <w:tc>
          <w:tcPr>
            <w:tcW w:w="1361" w:type="dxa"/>
            <w:vAlign w:val="center"/>
          </w:tcPr>
          <w:p>
            <w:pPr>
              <w:pStyle w:val="22"/>
            </w:pPr>
            <w:r>
              <w:t>10.61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411.26</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411.65</w:t>
            </w:r>
          </w:p>
        </w:tc>
        <w:tc>
          <w:tcPr>
            <w:tcW w:w="1474" w:type="dxa"/>
            <w:vAlign w:val="center"/>
          </w:tcPr>
          <w:p>
            <w:pPr>
              <w:pStyle w:val="22"/>
            </w:pPr>
            <w:r>
              <w:t>411.65</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411.26</w:t>
            </w:r>
          </w:p>
        </w:tc>
        <w:tc>
          <w:tcPr>
            <w:tcW w:w="3402" w:type="dxa"/>
            <w:vAlign w:val="center"/>
          </w:tcPr>
          <w:p>
            <w:pPr>
              <w:pStyle w:val="25"/>
            </w:pPr>
            <w:r>
              <w:t>本年支出合计</w:t>
            </w:r>
          </w:p>
        </w:tc>
        <w:tc>
          <w:tcPr>
            <w:tcW w:w="1474" w:type="dxa"/>
            <w:vAlign w:val="center"/>
          </w:tcPr>
          <w:p>
            <w:pPr>
              <w:pStyle w:val="26"/>
            </w:pPr>
            <w:r>
              <w:t>411.65</w:t>
            </w:r>
          </w:p>
        </w:tc>
        <w:tc>
          <w:tcPr>
            <w:tcW w:w="1474" w:type="dxa"/>
            <w:vAlign w:val="center"/>
          </w:tcPr>
          <w:p>
            <w:pPr>
              <w:pStyle w:val="26"/>
            </w:pPr>
            <w:r>
              <w:t>411.65</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r>
              <w:t>0.39</w:t>
            </w: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r>
              <w:t>0.39</w:t>
            </w: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411.65</w:t>
            </w:r>
          </w:p>
        </w:tc>
        <w:tc>
          <w:tcPr>
            <w:tcW w:w="3402" w:type="dxa"/>
            <w:vAlign w:val="center"/>
          </w:tcPr>
          <w:p>
            <w:pPr>
              <w:pStyle w:val="25"/>
            </w:pPr>
            <w:r>
              <w:t>支出总计</w:t>
            </w:r>
          </w:p>
        </w:tc>
        <w:tc>
          <w:tcPr>
            <w:tcW w:w="1474" w:type="dxa"/>
            <w:vAlign w:val="center"/>
          </w:tcPr>
          <w:p>
            <w:pPr>
              <w:pStyle w:val="26"/>
            </w:pPr>
            <w:r>
              <w:t>411.65</w:t>
            </w:r>
          </w:p>
        </w:tc>
        <w:tc>
          <w:tcPr>
            <w:tcW w:w="1474" w:type="dxa"/>
            <w:vAlign w:val="center"/>
          </w:tcPr>
          <w:p>
            <w:pPr>
              <w:pStyle w:val="26"/>
            </w:pPr>
            <w:r>
              <w:t>411.65</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411.65</w:t>
            </w:r>
          </w:p>
        </w:tc>
        <w:tc>
          <w:tcPr>
            <w:tcW w:w="2551" w:type="dxa"/>
            <w:vAlign w:val="center"/>
          </w:tcPr>
          <w:p>
            <w:pPr>
              <w:pStyle w:val="26"/>
            </w:pPr>
            <w:r>
              <w:t>398.64</w:t>
            </w:r>
          </w:p>
        </w:tc>
        <w:tc>
          <w:tcPr>
            <w:tcW w:w="2551" w:type="dxa"/>
            <w:vAlign w:val="center"/>
          </w:tcPr>
          <w:p>
            <w:pPr>
              <w:pStyle w:val="26"/>
            </w:pPr>
            <w:r>
              <w:t>13.01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411.65</w:t>
            </w:r>
          </w:p>
        </w:tc>
        <w:tc>
          <w:tcPr>
            <w:tcW w:w="2551" w:type="dxa"/>
            <w:vAlign w:val="center"/>
          </w:tcPr>
          <w:p>
            <w:pPr>
              <w:pStyle w:val="22"/>
            </w:pPr>
            <w:r>
              <w:t>398.64</w:t>
            </w:r>
          </w:p>
        </w:tc>
        <w:tc>
          <w:tcPr>
            <w:tcW w:w="2551" w:type="dxa"/>
            <w:vAlign w:val="center"/>
          </w:tcPr>
          <w:p>
            <w:pPr>
              <w:pStyle w:val="22"/>
            </w:pPr>
            <w:r>
              <w:t>13.01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411.65</w:t>
            </w:r>
          </w:p>
        </w:tc>
        <w:tc>
          <w:tcPr>
            <w:tcW w:w="2551" w:type="dxa"/>
            <w:vAlign w:val="center"/>
          </w:tcPr>
          <w:p>
            <w:pPr>
              <w:pStyle w:val="22"/>
            </w:pPr>
            <w:r>
              <w:t>398.64</w:t>
            </w:r>
          </w:p>
        </w:tc>
        <w:tc>
          <w:tcPr>
            <w:tcW w:w="2551" w:type="dxa"/>
            <w:vAlign w:val="center"/>
          </w:tcPr>
          <w:p>
            <w:pPr>
              <w:pStyle w:val="22"/>
            </w:pPr>
            <w:r>
              <w:t>13.01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3.04</w:t>
            </w:r>
          </w:p>
        </w:tc>
        <w:tc>
          <w:tcPr>
            <w:tcW w:w="2551" w:type="dxa"/>
            <w:vAlign w:val="center"/>
          </w:tcPr>
          <w:p>
            <w:pPr>
              <w:pStyle w:val="22"/>
            </w:pPr>
            <w:r>
              <w:t>0.64</w:t>
            </w:r>
          </w:p>
        </w:tc>
        <w:tc>
          <w:tcPr>
            <w:tcW w:w="2551" w:type="dxa"/>
            <w:vAlign w:val="center"/>
          </w:tcPr>
          <w:p>
            <w:pPr>
              <w:pStyle w:val="22"/>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408.61</w:t>
            </w:r>
          </w:p>
        </w:tc>
        <w:tc>
          <w:tcPr>
            <w:tcW w:w="2551" w:type="dxa"/>
            <w:vAlign w:val="center"/>
          </w:tcPr>
          <w:p>
            <w:pPr>
              <w:pStyle w:val="22"/>
            </w:pPr>
            <w:r>
              <w:t>398.00</w:t>
            </w:r>
          </w:p>
        </w:tc>
        <w:tc>
          <w:tcPr>
            <w:tcW w:w="2551" w:type="dxa"/>
            <w:vAlign w:val="center"/>
          </w:tcPr>
          <w:p>
            <w:pPr>
              <w:pStyle w:val="22"/>
            </w:pPr>
            <w:r>
              <w:t>10.61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398.64</w:t>
            </w:r>
          </w:p>
        </w:tc>
        <w:tc>
          <w:tcPr>
            <w:tcW w:w="2551" w:type="dxa"/>
            <w:vAlign w:val="center"/>
          </w:tcPr>
          <w:p>
            <w:pPr>
              <w:pStyle w:val="26"/>
            </w:pPr>
            <w:r>
              <w:t>392.54</w:t>
            </w:r>
          </w:p>
        </w:tc>
        <w:tc>
          <w:tcPr>
            <w:tcW w:w="2551" w:type="dxa"/>
            <w:vAlign w:val="center"/>
          </w:tcPr>
          <w:p>
            <w:pPr>
              <w:pStyle w:val="26"/>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347.38</w:t>
            </w:r>
          </w:p>
        </w:tc>
        <w:tc>
          <w:tcPr>
            <w:tcW w:w="2551" w:type="dxa"/>
            <w:vAlign w:val="center"/>
          </w:tcPr>
          <w:p>
            <w:pPr>
              <w:pStyle w:val="22"/>
            </w:pPr>
            <w:r>
              <w:t>347.38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72.73</w:t>
            </w:r>
          </w:p>
        </w:tc>
        <w:tc>
          <w:tcPr>
            <w:tcW w:w="2551" w:type="dxa"/>
            <w:vAlign w:val="center"/>
          </w:tcPr>
          <w:p>
            <w:pPr>
              <w:pStyle w:val="22"/>
            </w:pPr>
            <w:r>
              <w:t>72.73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19.84</w:t>
            </w:r>
          </w:p>
        </w:tc>
        <w:tc>
          <w:tcPr>
            <w:tcW w:w="2551" w:type="dxa"/>
            <w:vAlign w:val="center"/>
          </w:tcPr>
          <w:p>
            <w:pPr>
              <w:pStyle w:val="22"/>
            </w:pPr>
            <w:r>
              <w:t>19.84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112.13</w:t>
            </w:r>
          </w:p>
        </w:tc>
        <w:tc>
          <w:tcPr>
            <w:tcW w:w="2551" w:type="dxa"/>
            <w:vAlign w:val="center"/>
          </w:tcPr>
          <w:p>
            <w:pPr>
              <w:pStyle w:val="22"/>
            </w:pPr>
            <w:r>
              <w:t>112.13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24.85</w:t>
            </w:r>
          </w:p>
        </w:tc>
        <w:tc>
          <w:tcPr>
            <w:tcW w:w="2551" w:type="dxa"/>
            <w:vAlign w:val="center"/>
          </w:tcPr>
          <w:p>
            <w:pPr>
              <w:pStyle w:val="22"/>
            </w:pPr>
            <w:r>
              <w:t>24.85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7.73</w:t>
            </w:r>
          </w:p>
        </w:tc>
        <w:tc>
          <w:tcPr>
            <w:tcW w:w="2551" w:type="dxa"/>
            <w:vAlign w:val="center"/>
          </w:tcPr>
          <w:p>
            <w:pPr>
              <w:pStyle w:val="22"/>
            </w:pPr>
            <w:r>
              <w:t>7.73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1.76</w:t>
            </w:r>
          </w:p>
        </w:tc>
        <w:tc>
          <w:tcPr>
            <w:tcW w:w="2551" w:type="dxa"/>
            <w:vAlign w:val="center"/>
          </w:tcPr>
          <w:p>
            <w:pPr>
              <w:pStyle w:val="22"/>
            </w:pPr>
            <w:r>
              <w:t>1.76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20.48</w:t>
            </w:r>
          </w:p>
        </w:tc>
        <w:tc>
          <w:tcPr>
            <w:tcW w:w="2551" w:type="dxa"/>
            <w:vAlign w:val="center"/>
          </w:tcPr>
          <w:p>
            <w:pPr>
              <w:pStyle w:val="22"/>
            </w:pPr>
            <w:r>
              <w:t>20.48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87.86</w:t>
            </w:r>
          </w:p>
        </w:tc>
        <w:tc>
          <w:tcPr>
            <w:tcW w:w="2551" w:type="dxa"/>
            <w:vAlign w:val="center"/>
          </w:tcPr>
          <w:p>
            <w:pPr>
              <w:pStyle w:val="22"/>
            </w:pPr>
            <w:r>
              <w:t>87.86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6.10</w:t>
            </w:r>
          </w:p>
        </w:tc>
        <w:tc>
          <w:tcPr>
            <w:tcW w:w="2551" w:type="dxa"/>
            <w:vAlign w:val="center"/>
          </w:tcPr>
          <w:p>
            <w:pPr>
              <w:pStyle w:val="22"/>
            </w:pPr>
          </w:p>
        </w:tc>
        <w:tc>
          <w:tcPr>
            <w:tcW w:w="2551" w:type="dxa"/>
            <w:vAlign w:val="center"/>
          </w:tcPr>
          <w:p>
            <w:pPr>
              <w:pStyle w:val="22"/>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0.64</w:t>
            </w:r>
          </w:p>
        </w:tc>
        <w:tc>
          <w:tcPr>
            <w:tcW w:w="2551" w:type="dxa"/>
            <w:vAlign w:val="center"/>
          </w:tcPr>
          <w:p>
            <w:pPr>
              <w:pStyle w:val="22"/>
            </w:pPr>
          </w:p>
        </w:tc>
        <w:tc>
          <w:tcPr>
            <w:tcW w:w="2551" w:type="dxa"/>
            <w:vAlign w:val="center"/>
          </w:tcPr>
          <w:p>
            <w:pPr>
              <w:pStyle w:val="22"/>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3.26</w:t>
            </w:r>
          </w:p>
        </w:tc>
        <w:tc>
          <w:tcPr>
            <w:tcW w:w="2551" w:type="dxa"/>
            <w:vAlign w:val="center"/>
          </w:tcPr>
          <w:p>
            <w:pPr>
              <w:pStyle w:val="22"/>
            </w:pPr>
          </w:p>
        </w:tc>
        <w:tc>
          <w:tcPr>
            <w:tcW w:w="2551" w:type="dxa"/>
            <w:vAlign w:val="center"/>
          </w:tcPr>
          <w:p>
            <w:pPr>
              <w:pStyle w:val="22"/>
            </w:pPr>
            <w:r>
              <w:t>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2.20</w:t>
            </w:r>
          </w:p>
        </w:tc>
        <w:tc>
          <w:tcPr>
            <w:tcW w:w="2551" w:type="dxa"/>
            <w:vAlign w:val="center"/>
          </w:tcPr>
          <w:p>
            <w:pPr>
              <w:pStyle w:val="22"/>
            </w:pPr>
          </w:p>
        </w:tc>
        <w:tc>
          <w:tcPr>
            <w:tcW w:w="2551" w:type="dxa"/>
            <w:vAlign w:val="center"/>
          </w:tcPr>
          <w:p>
            <w:pPr>
              <w:pStyle w:val="22"/>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45.16</w:t>
            </w:r>
          </w:p>
        </w:tc>
        <w:tc>
          <w:tcPr>
            <w:tcW w:w="2551" w:type="dxa"/>
            <w:vAlign w:val="center"/>
          </w:tcPr>
          <w:p>
            <w:pPr>
              <w:pStyle w:val="22"/>
            </w:pPr>
            <w:r>
              <w:t>45.16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27.52</w:t>
            </w:r>
          </w:p>
        </w:tc>
        <w:tc>
          <w:tcPr>
            <w:tcW w:w="2551" w:type="dxa"/>
            <w:vAlign w:val="center"/>
          </w:tcPr>
          <w:p>
            <w:pPr>
              <w:pStyle w:val="22"/>
            </w:pPr>
            <w:r>
              <w:t>27.52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30305</w:t>
            </w:r>
          </w:p>
        </w:tc>
        <w:tc>
          <w:tcPr>
            <w:tcW w:w="4535" w:type="dxa"/>
            <w:vAlign w:val="center"/>
          </w:tcPr>
          <w:p>
            <w:pPr>
              <w:pStyle w:val="23"/>
            </w:pPr>
            <w:r>
              <w:t>生活补助</w:t>
            </w:r>
          </w:p>
        </w:tc>
        <w:tc>
          <w:tcPr>
            <w:tcW w:w="2551" w:type="dxa"/>
            <w:vAlign w:val="center"/>
          </w:tcPr>
          <w:p>
            <w:pPr>
              <w:pStyle w:val="22"/>
            </w:pPr>
            <w:r>
              <w:t>2.47</w:t>
            </w:r>
          </w:p>
        </w:tc>
        <w:tc>
          <w:tcPr>
            <w:tcW w:w="2551" w:type="dxa"/>
            <w:vAlign w:val="center"/>
          </w:tcPr>
          <w:p>
            <w:pPr>
              <w:pStyle w:val="22"/>
            </w:pPr>
            <w:r>
              <w:t>2.47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15.17</w:t>
            </w:r>
          </w:p>
        </w:tc>
        <w:tc>
          <w:tcPr>
            <w:tcW w:w="2551" w:type="dxa"/>
            <w:vAlign w:val="center"/>
          </w:tcPr>
          <w:p>
            <w:pPr>
              <w:pStyle w:val="22"/>
            </w:pPr>
            <w:r>
              <w:t>15.17</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501585霸州市胜芳镇第四小学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霸州市胜芳镇第四小学2023年单位预算信息公开情况说明</w:t>
      </w:r>
    </w:p>
    <w:p>
      <w:pPr>
        <w:spacing w:line="500" w:lineRule="exact"/>
        <w:ind w:firstLine="560"/>
      </w:pPr>
      <w:r>
        <w:rPr>
          <w:rFonts w:eastAsia="方正仿宋_GBK"/>
          <w:sz w:val="28"/>
        </w:rPr>
        <w:t>按照《预算法》、《地方预决算公开操作规程》和《关于进一步推进预算公开工作的实施意见》规定，现将霸州市胜芳镇第四小学2023年单位预算公开如下：</w:t>
      </w:r>
    </w:p>
    <w:p>
      <w:pPr>
        <w:spacing w:before="10" w:after="10"/>
        <w:ind w:firstLine="640"/>
        <w:outlineLvl w:val="5"/>
      </w:pPr>
      <w:r>
        <w:rPr>
          <w:rFonts w:ascii="黑体" w:hAnsi="黑体" w:eastAsia="黑体" w:cs="黑体"/>
          <w:sz w:val="32"/>
        </w:rPr>
        <w:t>一、单位职责及机构设置情况</w:t>
      </w:r>
    </w:p>
    <w:p>
      <w:pPr>
        <w:ind w:firstLine="640"/>
      </w:pPr>
      <w:r>
        <w:rPr>
          <w:rFonts w:ascii="方正楷体_GBK" w:hAnsi="方正楷体_GBK" w:eastAsia="方正楷体_GBK" w:cs="方正楷体_GBK"/>
          <w:b/>
          <w:sz w:val="32"/>
        </w:rPr>
        <w:t>单位职责：</w:t>
      </w:r>
    </w:p>
    <w:p>
      <w:pPr>
        <w:spacing w:line="584" w:lineRule="exact"/>
        <w:ind w:firstLine="560" w:firstLineChars="200"/>
        <w:rPr>
          <w:rFonts w:eastAsia="方正仿宋_GBK"/>
          <w:lang w:eastAsia="zh-CN"/>
        </w:rPr>
      </w:pPr>
      <w:r>
        <w:rPr>
          <w:rFonts w:hint="eastAsia" w:ascii="方正仿宋_GBK" w:eastAsia="方正仿宋_GBK"/>
          <w:sz w:val="28"/>
        </w:rPr>
        <w:t>实施小学义务教育，促进基础教育发展。小学学历教育</w:t>
      </w:r>
      <w:r>
        <w:rPr>
          <w:rFonts w:hint="eastAsia" w:ascii="方正仿宋_GBK" w:eastAsia="方正仿宋_GBK"/>
          <w:sz w:val="28"/>
          <w:lang w:eastAsia="zh-CN"/>
        </w:rPr>
        <w:t>。</w:t>
      </w:r>
    </w:p>
    <w:p>
      <w:pPr>
        <w:pStyle w:val="36"/>
      </w:pPr>
    </w:p>
    <w:p>
      <w:pPr>
        <w:ind w:firstLine="640"/>
      </w:pPr>
      <w:r>
        <w:rPr>
          <w:rFonts w:ascii="方正楷体_GBK" w:hAnsi="方正楷体_GBK" w:eastAsia="方正楷体_GBK" w:cs="方正楷体_GBK"/>
          <w:b/>
          <w:sz w:val="32"/>
        </w:rPr>
        <w:t>机构设置：</w:t>
      </w:r>
    </w:p>
    <w:p>
      <w:pPr>
        <w:jc w:val="center"/>
      </w:pPr>
      <w:r>
        <w:rPr>
          <w:rFonts w:ascii="方正小标宋_GBK" w:hAnsi="方正小标宋_GBK" w:eastAsia="方正小标宋_GBK" w:cs="方正小标宋_GBK"/>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霸州市胜芳镇第四小学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sz w:val="32"/>
        </w:rPr>
        <w:t>二、单位预算安排的总体情况</w:t>
      </w:r>
    </w:p>
    <w:p>
      <w:pPr>
        <w:spacing w:line="500" w:lineRule="exact"/>
        <w:ind w:firstLine="560"/>
        <w:rPr>
          <w:rFonts w:ascii="方正仿宋_GBK" w:eastAsia="方正仿宋_GBK"/>
        </w:rPr>
      </w:pPr>
      <w:r>
        <w:rPr>
          <w:rFonts w:hint="eastAsia" w:ascii="方正仿宋_GBK" w:eastAsia="方正仿宋_GBK"/>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t>411.</w:t>
      </w:r>
      <w:r>
        <w:rPr>
          <w:rFonts w:hint="eastAsia"/>
          <w:lang w:eastAsia="zh-CN"/>
        </w:rPr>
        <w:t>65</w:t>
      </w:r>
      <w:r>
        <w:rPr>
          <w:rFonts w:hint="eastAsia" w:ascii="方正仿宋_GBK"/>
        </w:rPr>
        <w:t>万元，其中：一般公共预算收入</w:t>
      </w:r>
      <w:r>
        <w:t>411.</w:t>
      </w:r>
      <w:r>
        <w:rPr>
          <w:rFonts w:hint="eastAsia"/>
          <w:lang w:eastAsia="zh-CN"/>
        </w:rPr>
        <w:t>26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0.39</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胜芳镇第四小学</w:t>
      </w:r>
      <w:r>
        <w:rPr>
          <w:rFonts w:hint="eastAsia" w:ascii="方正仿宋_GBK"/>
        </w:rPr>
        <w:t>2023年度单位预算中支出预算的总体情况。2023年支出预算</w:t>
      </w:r>
      <w:r>
        <w:t>411.65</w:t>
      </w:r>
      <w:r>
        <w:rPr>
          <w:rFonts w:hint="eastAsia" w:ascii="方正仿宋_GBK"/>
        </w:rPr>
        <w:t>万元，其中：基本支出</w:t>
      </w:r>
      <w:r>
        <w:t>398.64</w:t>
      </w:r>
      <w:r>
        <w:rPr>
          <w:rFonts w:hint="eastAsia" w:ascii="方正仿宋_GBK"/>
        </w:rPr>
        <w:t>万元，包括人员经费</w:t>
      </w:r>
      <w:r>
        <w:t>392.54</w:t>
      </w:r>
      <w:r>
        <w:rPr>
          <w:rFonts w:hint="eastAsia" w:ascii="方正仿宋_GBK"/>
        </w:rPr>
        <w:t>万元和日常公用经费</w:t>
      </w:r>
      <w:r>
        <w:t>6.10</w:t>
      </w:r>
      <w:r>
        <w:rPr>
          <w:rFonts w:hint="eastAsia" w:ascii="方正仿宋_GBK"/>
        </w:rPr>
        <w:t>万元；项目支出</w:t>
      </w:r>
      <w:r>
        <w:rPr>
          <w:rFonts w:hint="eastAsia"/>
          <w:lang w:eastAsia="zh-CN"/>
        </w:rPr>
        <w:t>13.01</w:t>
      </w:r>
      <w:r>
        <w:rPr>
          <w:rFonts w:hint="eastAsia" w:ascii="方正仿宋_GBK"/>
        </w:rPr>
        <w:t>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t>411.65</w:t>
      </w:r>
      <w:r>
        <w:rPr>
          <w:rFonts w:hint="eastAsia" w:ascii="方正仿宋_GBK"/>
        </w:rPr>
        <w:t>万元，较2022年预算增加</w:t>
      </w:r>
      <w:r>
        <w:rPr>
          <w:rFonts w:hint="eastAsia" w:ascii="方正仿宋_GBK"/>
          <w:lang w:eastAsia="zh-CN"/>
        </w:rPr>
        <w:t>42.55</w:t>
      </w:r>
      <w:r>
        <w:rPr>
          <w:rFonts w:hint="eastAsia" w:ascii="方正仿宋_GBK"/>
        </w:rPr>
        <w:t>万元，其中：基本支出增加</w:t>
      </w:r>
      <w:r>
        <w:rPr>
          <w:rFonts w:hint="eastAsia" w:ascii="方正仿宋_GBK"/>
          <w:lang w:eastAsia="zh-CN"/>
        </w:rPr>
        <w:t>42.97</w:t>
      </w:r>
      <w:r>
        <w:rPr>
          <w:rFonts w:hint="eastAsia" w:ascii="方正仿宋_GBK"/>
        </w:rPr>
        <w:t>万元，主要为</w:t>
      </w:r>
      <w:r>
        <w:rPr>
          <w:rFonts w:hint="eastAsia" w:ascii="方正仿宋_GBK"/>
          <w:lang w:eastAsia="zh-CN"/>
        </w:rPr>
        <w:t>增加人员经费</w:t>
      </w:r>
      <w:r>
        <w:rPr>
          <w:rFonts w:hint="eastAsia" w:ascii="方正仿宋_GBK"/>
        </w:rPr>
        <w:t>支出；项目支出减少</w:t>
      </w:r>
      <w:r>
        <w:rPr>
          <w:rFonts w:hint="eastAsia" w:ascii="方正仿宋_GBK"/>
          <w:lang w:eastAsia="zh-CN"/>
        </w:rPr>
        <w:t>0.42</w:t>
      </w:r>
      <w:r>
        <w:rPr>
          <w:rFonts w:hint="eastAsia" w:ascii="方正仿宋_GBK"/>
        </w:rPr>
        <w:t>万元，主要为</w:t>
      </w:r>
      <w:r>
        <w:rPr>
          <w:rFonts w:hint="eastAsia" w:ascii="方正仿宋_GBK"/>
          <w:lang w:eastAsia="zh-CN"/>
        </w:rPr>
        <w:t>减少日常</w:t>
      </w:r>
      <w:r>
        <w:rPr>
          <w:rFonts w:hint="eastAsia"/>
          <w:color w:val="000000"/>
        </w:rPr>
        <w:t>公用经费项目支出</w:t>
      </w:r>
      <w:r>
        <w:rPr>
          <w:rFonts w:hint="eastAsia" w:ascii="方正仿宋_GBK"/>
        </w:rPr>
        <w:t>。</w:t>
      </w:r>
    </w:p>
    <w:p>
      <w:pPr>
        <w:spacing w:before="10" w:after="10"/>
        <w:ind w:firstLine="640"/>
        <w:outlineLvl w:val="5"/>
        <w:rPr>
          <w:lang w:val="uk-UA"/>
        </w:rPr>
      </w:pPr>
      <w:r>
        <w:rPr>
          <w:rFonts w:ascii="黑体" w:hAnsi="黑体" w:eastAsia="黑体" w:cs="黑体"/>
          <w:sz w:val="32"/>
        </w:rPr>
        <w:t>三、机关运行经费安排情况</w:t>
      </w:r>
    </w:p>
    <w:p>
      <w:pPr>
        <w:spacing w:line="500" w:lineRule="exact"/>
        <w:ind w:firstLine="560"/>
        <w:rPr>
          <w:rFonts w:ascii="方正仿宋_GBK"/>
        </w:rPr>
      </w:pPr>
      <w:r>
        <w:rPr>
          <w:rFonts w:hint="eastAsia" w:ascii="方正仿宋_GBK" w:eastAsia="方正仿宋_GBK"/>
          <w:sz w:val="28"/>
          <w:lang w:eastAsia="zh-CN"/>
        </w:rPr>
        <w:t>2023年，我单位机关运行经费共计安排19.11万元，办公费、水费、取暖费、培训费、工会费、福利费、劳务费等日常运行支出。</w:t>
      </w:r>
    </w:p>
    <w:p>
      <w:pPr>
        <w:spacing w:before="10" w:after="10"/>
        <w:ind w:firstLine="640"/>
        <w:outlineLvl w:val="5"/>
      </w:pPr>
      <w:r>
        <w:rPr>
          <w:rFonts w:ascii="黑体" w:hAnsi="黑体" w:eastAsia="黑体" w:cs="黑体"/>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sz w:val="32"/>
        </w:rPr>
        <w:t>五、预算绩效信息</w:t>
      </w:r>
    </w:p>
    <w:p>
      <w:pPr>
        <w:ind w:firstLine="560"/>
      </w:pPr>
      <w:r>
        <w:rPr>
          <w:rFonts w:ascii="方正仿宋_GBK" w:hAnsi="方正仿宋_GBK" w:eastAsia="方正仿宋_GBK" w:cs="方正仿宋_GBK"/>
          <w:b/>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≥139人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2、关于提前下达2022年城乡义务教育省级补助资金预算的通知(公用经费)(冀财教[2021]168号)绩效目标表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≥139人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3、关于提前下达2022年城乡义务教育中央补助经费预算(直达资金)的通知(公用经费)(冀财教[2021]130号 )绩效目标表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≥139人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4、关于提前下达2023年城乡义务教育省级补助资金预算的通知(公用经费)(冀财教[2022]162号)绩效目标表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≥139人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5、关于提前下达2023年城乡义务教育中央补助经费预算的通知(公用经费)(冀财教[2022]179号)绩效目标表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≥139人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6、幼儿保教经费绩效目标表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≥1人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≥30人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≥85%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≤2.4万元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sz w:val="32"/>
        </w:rPr>
        <w:t>六、政府采购预算情况</w:t>
      </w:r>
    </w:p>
    <w:p>
      <w:pPr>
        <w:spacing w:line="500" w:lineRule="exact"/>
        <w:ind w:firstLine="560"/>
      </w:pPr>
      <w:r>
        <w:rPr>
          <w:rFonts w:eastAsia="方正仿宋_GBK"/>
          <w:sz w:val="28"/>
        </w:rPr>
        <w:t>2023年，霸州市胜芳镇第四小学安排政府采购预算0.00万元。具体内容见下表。</w:t>
      </w:r>
    </w:p>
    <w:p>
      <w:pPr>
        <w:jc w:val="center"/>
      </w:pPr>
      <w:r>
        <w:rPr>
          <w:rFonts w:ascii="方正小标宋_GBK" w:hAnsi="方正小标宋_GBK" w:eastAsia="方正小标宋_GBK" w:cs="方正小标宋_GBK"/>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501585霸州市胜芳镇第四小学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4"/>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pPr>
      <w:r>
        <w:rPr>
          <w:rFonts w:ascii="方正书宋_GBK" w:hAnsi="方正书宋_GBK" w:eastAsia="方正书宋_GBK" w:cs="方正书宋_GBK"/>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rPr>
        <w:t>注：无政府采购预算，空表列示。</w:t>
      </w:r>
    </w:p>
    <w:p>
      <w:pPr>
        <w:ind w:firstLine="640"/>
      </w:pPr>
      <w:r>
        <w:rPr>
          <w:rFonts w:eastAsia="方正仿宋_GBK"/>
          <w:sz w:val="32"/>
        </w:rPr>
        <w:t xml:space="preserve"> </w:t>
      </w:r>
    </w:p>
    <w:p>
      <w:pPr>
        <w:spacing w:before="10" w:after="10"/>
        <w:ind w:firstLine="640"/>
        <w:outlineLvl w:val="5"/>
      </w:pPr>
      <w:r>
        <w:rPr>
          <w:rFonts w:ascii="黑体" w:hAnsi="黑体" w:eastAsia="黑体" w:cs="黑体"/>
          <w:sz w:val="32"/>
        </w:rPr>
        <w:t>七、国有资产信息</w:t>
      </w:r>
    </w:p>
    <w:p>
      <w:pPr>
        <w:spacing w:line="500" w:lineRule="exact"/>
        <w:ind w:firstLine="560"/>
      </w:pPr>
      <w:r>
        <w:rPr>
          <w:rFonts w:eastAsia="方正仿宋_GBK"/>
          <w:sz w:val="28"/>
        </w:rPr>
        <w:t>霸州市胜芳镇第四小学上年末固定资产金额为</w:t>
      </w:r>
      <w:r>
        <w:rPr>
          <w:rFonts w:hint="eastAsia" w:eastAsia="方正仿宋_GBK"/>
          <w:sz w:val="28"/>
          <w:lang w:eastAsia="zh-CN"/>
        </w:rPr>
        <w:t>80.45</w:t>
      </w:r>
      <w:r>
        <w:rPr>
          <w:rFonts w:eastAsia="方正仿宋_GBK"/>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sz w:val="36"/>
        </w:rPr>
      </w:pPr>
    </w:p>
    <w:p>
      <w:pPr>
        <w:jc w:val="center"/>
      </w:pPr>
      <w:r>
        <w:rPr>
          <w:rFonts w:ascii="方正小标宋_GBK" w:hAnsi="方正小标宋_GBK" w:eastAsia="方正小标宋_GBK" w:cs="方正小标宋_GBK"/>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501585霸州市胜芳镇第四小学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方正书宋_GBK" w:hAnsi="方正书宋_GBK" w:eastAsia="方正书宋_GBK" w:cs="方正书宋_GBK"/>
                <w:sz w:val="21"/>
                <w:lang w:eastAsia="zh-CN"/>
              </w:rPr>
            </w:pPr>
            <w:r>
              <w:rPr>
                <w:rFonts w:hint="eastAsia" w:ascii="宋体" w:hAnsi="宋体" w:eastAsia="宋体" w:cs="宋体"/>
                <w:sz w:val="22"/>
              </w:rPr>
              <w:t>资产总额</w:t>
            </w:r>
          </w:p>
        </w:tc>
        <w:tc>
          <w:tcPr>
            <w:tcW w:w="2835" w:type="dxa"/>
            <w:vAlign w:val="center"/>
          </w:tcPr>
          <w:p>
            <w:pPr>
              <w:rPr>
                <w:rFonts w:ascii="方正书宋_GBK" w:hAnsi="方正书宋_GBK" w:eastAsia="方正书宋_GBK" w:cs="方正书宋_GBK"/>
                <w:sz w:val="21"/>
                <w:lang w:eastAsia="zh-CN"/>
              </w:rPr>
            </w:pPr>
          </w:p>
        </w:tc>
        <w:tc>
          <w:tcPr>
            <w:tcW w:w="2835" w:type="dxa"/>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sz w:val="21"/>
                <w:lang w:eastAsia="zh-CN"/>
              </w:rPr>
            </w:pPr>
            <w:r>
              <w:rPr>
                <w:rFonts w:hint="eastAsia" w:ascii="宋体" w:hAnsi="宋体" w:eastAsia="宋体" w:cs="宋体"/>
                <w:sz w:val="22"/>
              </w:rPr>
              <w:t>1、房屋（平方米）</w:t>
            </w:r>
          </w:p>
        </w:tc>
        <w:tc>
          <w:tcPr>
            <w:tcW w:w="2835" w:type="dxa"/>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w:t>
            </w:r>
          </w:p>
        </w:tc>
        <w:tc>
          <w:tcPr>
            <w:tcW w:w="2835" w:type="dxa"/>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sz w:val="21"/>
                <w:lang w:eastAsia="zh-CN"/>
              </w:rPr>
            </w:pPr>
            <w:r>
              <w:rPr>
                <w:rFonts w:hint="eastAsia" w:ascii="宋体" w:hAnsi="宋体" w:eastAsia="宋体" w:cs="宋体"/>
                <w:sz w:val="22"/>
              </w:rPr>
              <w:t xml:space="preserve">   其中：办公用房（平方米）</w:t>
            </w:r>
          </w:p>
        </w:tc>
        <w:tc>
          <w:tcPr>
            <w:tcW w:w="2835" w:type="dxa"/>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w:t>
            </w:r>
          </w:p>
        </w:tc>
        <w:tc>
          <w:tcPr>
            <w:tcW w:w="2835" w:type="dxa"/>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sz w:val="21"/>
                <w:lang w:eastAsia="zh-CN"/>
              </w:rPr>
            </w:pPr>
            <w:r>
              <w:rPr>
                <w:rFonts w:hint="eastAsia" w:ascii="宋体" w:hAnsi="宋体" w:eastAsia="宋体" w:cs="宋体"/>
                <w:sz w:val="22"/>
              </w:rPr>
              <w:t>2、车辆（台、辆）</w:t>
            </w:r>
          </w:p>
        </w:tc>
        <w:tc>
          <w:tcPr>
            <w:tcW w:w="2835" w:type="dxa"/>
            <w:vAlign w:val="center"/>
          </w:tcPr>
          <w:p>
            <w:pPr>
              <w:pStyle w:val="24"/>
              <w:rPr>
                <w:lang w:eastAsia="zh-CN"/>
              </w:rPr>
            </w:pPr>
            <w:r>
              <w:rPr>
                <w:rFonts w:hint="eastAsia"/>
                <w:lang w:eastAsia="zh-CN"/>
              </w:rPr>
              <w:t>0</w:t>
            </w:r>
          </w:p>
        </w:tc>
        <w:tc>
          <w:tcPr>
            <w:tcW w:w="2835" w:type="dxa"/>
            <w:vAlign w:val="center"/>
          </w:tcPr>
          <w:p>
            <w:pPr>
              <w:pStyle w:val="22"/>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sz w:val="21"/>
                <w:lang w:eastAsia="zh-CN"/>
              </w:rPr>
            </w:pPr>
            <w:r>
              <w:rPr>
                <w:rFonts w:hint="eastAsia" w:ascii="宋体" w:hAnsi="宋体" w:eastAsia="宋体" w:cs="宋体"/>
                <w:sz w:val="22"/>
              </w:rPr>
              <w:t>3、单价在50万元以上的设备</w:t>
            </w:r>
          </w:p>
        </w:tc>
        <w:tc>
          <w:tcPr>
            <w:tcW w:w="2835" w:type="dxa"/>
            <w:vAlign w:val="center"/>
          </w:tcPr>
          <w:p>
            <w:pPr>
              <w:pStyle w:val="24"/>
              <w:rPr>
                <w:lang w:eastAsia="zh-CN"/>
              </w:rPr>
            </w:pPr>
            <w:r>
              <w:rPr>
                <w:rFonts w:hint="eastAsia"/>
                <w:lang w:eastAsia="zh-CN"/>
              </w:rPr>
              <w:t>0</w:t>
            </w:r>
          </w:p>
        </w:tc>
        <w:tc>
          <w:tcPr>
            <w:tcW w:w="2835" w:type="dxa"/>
            <w:vAlign w:val="center"/>
          </w:tcPr>
          <w:p>
            <w:pPr>
              <w:pStyle w:val="22"/>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sz w:val="21"/>
                <w:lang w:eastAsia="zh-CN"/>
              </w:rPr>
            </w:pPr>
            <w:r>
              <w:rPr>
                <w:rFonts w:hint="eastAsia" w:ascii="宋体" w:hAnsi="宋体" w:eastAsia="宋体" w:cs="宋体"/>
                <w:sz w:val="22"/>
              </w:rPr>
              <w:t>4、其他固定资产</w:t>
            </w:r>
          </w:p>
        </w:tc>
        <w:tc>
          <w:tcPr>
            <w:tcW w:w="2835" w:type="dxa"/>
            <w:vAlign w:val="center"/>
          </w:tcPr>
          <w:p>
            <w:pPr>
              <w:pStyle w:val="24"/>
              <w:rPr>
                <w:lang w:eastAsia="zh-CN"/>
              </w:rPr>
            </w:pPr>
            <w:r>
              <w:rPr>
                <w:rFonts w:hint="eastAsia"/>
                <w:lang w:eastAsia="zh-CN"/>
              </w:rPr>
              <w:t>188</w:t>
            </w:r>
          </w:p>
        </w:tc>
        <w:tc>
          <w:tcPr>
            <w:tcW w:w="2835" w:type="dxa"/>
            <w:vAlign w:val="center"/>
          </w:tcPr>
          <w:p>
            <w:pPr>
              <w:pStyle w:val="22"/>
              <w:jc w:val="center"/>
              <w:rPr>
                <w:lang w:eastAsia="zh-CN"/>
              </w:rPr>
            </w:pPr>
            <w:r>
              <w:rPr>
                <w:rFonts w:hint="eastAsia"/>
                <w:lang w:eastAsia="zh-CN"/>
              </w:rPr>
              <w:t>80.45</w:t>
            </w:r>
          </w:p>
        </w:tc>
      </w:tr>
    </w:tbl>
    <w:p>
      <w:pPr>
        <w:spacing w:before="10" w:after="10"/>
        <w:ind w:firstLine="640"/>
        <w:outlineLvl w:val="5"/>
      </w:pPr>
      <w:r>
        <w:rPr>
          <w:rFonts w:ascii="黑体" w:hAnsi="黑体" w:eastAsia="黑体" w:cs="黑体"/>
          <w:sz w:val="32"/>
        </w:rPr>
        <w:t>八、名词解释</w:t>
      </w:r>
    </w:p>
    <w:p>
      <w:pPr>
        <w:spacing w:line="500" w:lineRule="exact"/>
        <w:ind w:firstLine="560"/>
      </w:pPr>
      <w:r>
        <w:rPr>
          <w:rFonts w:eastAsia="方正仿宋_GBK"/>
          <w:sz w:val="28"/>
        </w:rPr>
        <w:t>1、</w:t>
      </w:r>
      <w:r>
        <w:rPr>
          <w:rFonts w:eastAsia="方正仿宋_GBK"/>
          <w:b/>
          <w:sz w:val="28"/>
        </w:rPr>
        <w:t>一般公共预算拨款收入：</w:t>
      </w:r>
      <w:r>
        <w:rPr>
          <w:rFonts w:eastAsia="方正仿宋_GBK"/>
          <w:sz w:val="28"/>
        </w:rPr>
        <w:t>指市级财政当年拨付的资金。</w:t>
      </w:r>
    </w:p>
    <w:p>
      <w:pPr>
        <w:spacing w:line="500" w:lineRule="exact"/>
        <w:ind w:firstLine="560"/>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pPr>
      <w:r>
        <w:rPr>
          <w:rFonts w:eastAsia="方正仿宋_GBK"/>
          <w:sz w:val="28"/>
        </w:rPr>
        <w:t>3、</w:t>
      </w:r>
      <w:r>
        <w:rPr>
          <w:rFonts w:eastAsia="方正仿宋_GBK"/>
          <w:b/>
          <w:sz w:val="28"/>
        </w:rPr>
        <w:t>其他收入：</w:t>
      </w:r>
      <w:r>
        <w:rPr>
          <w:rFonts w:eastAsia="方正仿宋_GBK"/>
          <w:sz w:val="28"/>
        </w:rPr>
        <w:t>指除“一般公共预算拨款收入”、“事业收入”等以外的收入。主要是按规定动用的租房收入、存款利息收入等。</w:t>
      </w:r>
    </w:p>
    <w:p>
      <w:pPr>
        <w:spacing w:line="500" w:lineRule="exact"/>
        <w:ind w:firstLine="560"/>
      </w:pPr>
      <w:r>
        <w:rPr>
          <w:rFonts w:eastAsia="方正仿宋_GBK"/>
          <w:sz w:val="28"/>
        </w:rPr>
        <w:t>4、</w:t>
      </w:r>
      <w:r>
        <w:rPr>
          <w:rFonts w:eastAsia="方正仿宋_GBK"/>
          <w:b/>
          <w:sz w:val="28"/>
        </w:rPr>
        <w:t>基本支出：</w:t>
      </w:r>
      <w:r>
        <w:rPr>
          <w:rFonts w:eastAsia="方正仿宋_GBK"/>
          <w:sz w:val="28"/>
        </w:rPr>
        <w:t>指为保障机构正常运转、完成日常工作任务而发生的人员支出和公用支出。</w:t>
      </w:r>
    </w:p>
    <w:p>
      <w:pPr>
        <w:spacing w:line="500" w:lineRule="exact"/>
        <w:ind w:firstLine="560"/>
      </w:pPr>
      <w:r>
        <w:rPr>
          <w:rFonts w:eastAsia="方正仿宋_GBK"/>
          <w:sz w:val="28"/>
        </w:rPr>
        <w:t>5、</w:t>
      </w:r>
      <w:r>
        <w:rPr>
          <w:rFonts w:eastAsia="方正仿宋_GBK"/>
          <w:b/>
          <w:sz w:val="28"/>
        </w:rPr>
        <w:t>项目支出：</w:t>
      </w:r>
      <w:r>
        <w:rPr>
          <w:rFonts w:eastAsia="方正仿宋_GBK"/>
          <w:sz w:val="28"/>
        </w:rPr>
        <w:t>指在基本支出之外为完成特定行政任务和事业发展目标所发生的支出。</w:t>
      </w:r>
    </w:p>
    <w:p>
      <w:pPr>
        <w:spacing w:line="500" w:lineRule="exact"/>
        <w:ind w:firstLine="560"/>
      </w:pPr>
      <w:r>
        <w:rPr>
          <w:rFonts w:eastAsia="方正仿宋_GBK"/>
          <w:sz w:val="28"/>
        </w:rPr>
        <w:t>6、</w:t>
      </w:r>
      <w:r>
        <w:rPr>
          <w:rFonts w:eastAsia="方正仿宋_GBK"/>
          <w:b/>
          <w:sz w:val="28"/>
        </w:rPr>
        <w:t>上缴上级支出：</w:t>
      </w:r>
      <w:r>
        <w:rPr>
          <w:rFonts w:eastAsia="方正仿宋_GBK"/>
          <w:sz w:val="28"/>
        </w:rPr>
        <w:t>指下级单位上缴上级的支出。</w:t>
      </w:r>
    </w:p>
    <w:p>
      <w:pPr>
        <w:spacing w:line="500" w:lineRule="exact"/>
        <w:ind w:firstLine="560"/>
      </w:pPr>
      <w:r>
        <w:rPr>
          <w:rFonts w:eastAsia="方正仿宋_GBK"/>
          <w:sz w:val="28"/>
        </w:rPr>
        <w:t>7、</w:t>
      </w:r>
      <w:r>
        <w:rPr>
          <w:rFonts w:eastAsia="方正仿宋_GBK"/>
          <w:b/>
          <w:sz w:val="28"/>
        </w:rPr>
        <w:t>“三公”经费：</w:t>
      </w:r>
      <w:r>
        <w:rPr>
          <w:rFonts w:eastAsia="方正仿宋_GBK"/>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sz w:val="28"/>
        </w:rPr>
        <w:t>8、</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sz w:val="28"/>
        </w:rPr>
        <w:t>9、</w:t>
      </w:r>
      <w:r>
        <w:rPr>
          <w:rFonts w:eastAsia="方正仿宋_GBK"/>
          <w:b/>
          <w:sz w:val="28"/>
        </w:rPr>
        <w:t>上年结转：</w:t>
      </w:r>
      <w:r>
        <w:rPr>
          <w:rFonts w:eastAsia="方正仿宋_GBK"/>
          <w:sz w:val="28"/>
        </w:rPr>
        <w:t>指以前年度尚未完成、结转到本年仍按原规定用途继续使用的资金。</w:t>
      </w:r>
    </w:p>
    <w:p>
      <w:pPr>
        <w:spacing w:line="500" w:lineRule="exact"/>
        <w:ind w:firstLine="560"/>
      </w:pPr>
      <w:r>
        <w:rPr>
          <w:rFonts w:eastAsia="方正仿宋_GBK"/>
          <w:sz w:val="28"/>
        </w:rPr>
        <w:t>10、</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sz w:val="32"/>
        </w:rPr>
        <w:t>九、其他需要说明的事项</w:t>
      </w:r>
    </w:p>
    <w:p>
      <w:pPr>
        <w:spacing w:line="500" w:lineRule="exact"/>
        <w:ind w:firstLine="560"/>
      </w:pPr>
      <w:r>
        <w:rPr>
          <w:rFonts w:eastAsia="方正仿宋_GBK"/>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eastAsia="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PAGE   \* MERGEFORMAT</w:instrText>
    </w:r>
    <w:r>
      <w:fldChar w:fldCharType="separate"/>
    </w:r>
    <w:r>
      <w:rPr>
        <w:lang w:val="zh-CN" w:eastAsia="zh-CN"/>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e06495d8-1bad-4806-9149-6b18e058e5b4"/>
  </w:docVars>
  <w:rsids>
    <w:rsidRoot w:val="004A1168"/>
    <w:rsid w:val="00012A57"/>
    <w:rsid w:val="000B7353"/>
    <w:rsid w:val="00136014"/>
    <w:rsid w:val="001F67F8"/>
    <w:rsid w:val="00223444"/>
    <w:rsid w:val="002A4649"/>
    <w:rsid w:val="002F010E"/>
    <w:rsid w:val="003A5231"/>
    <w:rsid w:val="003D654A"/>
    <w:rsid w:val="00464BFB"/>
    <w:rsid w:val="004A1168"/>
    <w:rsid w:val="005B7AFC"/>
    <w:rsid w:val="00612DFB"/>
    <w:rsid w:val="006D6C4D"/>
    <w:rsid w:val="006F70C6"/>
    <w:rsid w:val="00711481"/>
    <w:rsid w:val="00972810"/>
    <w:rsid w:val="00991EB1"/>
    <w:rsid w:val="009A0F20"/>
    <w:rsid w:val="009B55A2"/>
    <w:rsid w:val="00A80758"/>
    <w:rsid w:val="00A9064A"/>
    <w:rsid w:val="00A915A7"/>
    <w:rsid w:val="00AA1FB3"/>
    <w:rsid w:val="00AD578B"/>
    <w:rsid w:val="00B3176D"/>
    <w:rsid w:val="00B6757F"/>
    <w:rsid w:val="00BB35A7"/>
    <w:rsid w:val="00C57197"/>
    <w:rsid w:val="00C672B5"/>
    <w:rsid w:val="00CA13CC"/>
    <w:rsid w:val="00CC7E62"/>
    <w:rsid w:val="00D513F4"/>
    <w:rsid w:val="00D64AD2"/>
    <w:rsid w:val="00D93167"/>
    <w:rsid w:val="00D9444E"/>
    <w:rsid w:val="00DC3036"/>
    <w:rsid w:val="00E20116"/>
    <w:rsid w:val="00E3061C"/>
    <w:rsid w:val="00EF51BF"/>
    <w:rsid w:val="00F74669"/>
    <w:rsid w:val="00F91E3E"/>
    <w:rsid w:val="00FC209C"/>
    <w:rsid w:val="10CD32B3"/>
    <w:rsid w:val="32292413"/>
    <w:rsid w:val="446B664A"/>
    <w:rsid w:val="55AC6918"/>
    <w:rsid w:val="61D227C8"/>
    <w:rsid w:val="6A8C47CB"/>
    <w:rsid w:val="7F6E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1072-D327-4FE6-9011-8766FB67C61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6518</Words>
  <Characters>7527</Characters>
  <Lines>72</Lines>
  <Paragraphs>20</Paragraphs>
  <TotalTime>10</TotalTime>
  <ScaleCrop>false</ScaleCrop>
  <LinksUpToDate>false</LinksUpToDate>
  <CharactersWithSpaces>7695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2023-02-28T10:50:39Z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AF77C9D8C72D42E9B18335F810F2E866</vt:lpwstr>
  </property>
</Properties>
</file>